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CC" w:rsidRPr="00836975" w:rsidRDefault="00B35DCC" w:rsidP="00B35DCC">
      <w:pPr>
        <w:pStyle w:val="8"/>
        <w:pageBreakBefore/>
        <w:rPr>
          <w:rFonts w:ascii="Times New Roman" w:hAnsi="Times New Roman"/>
          <w:sz w:val="22"/>
        </w:rPr>
      </w:pPr>
      <w:r w:rsidRPr="00836975">
        <w:rPr>
          <w:rFonts w:ascii="Times New Roman" w:hAnsi="Times New Roman"/>
          <w:sz w:val="22"/>
        </w:rPr>
        <w:t>Приложение 1</w:t>
      </w:r>
    </w:p>
    <w:p w:rsidR="00B35DCC" w:rsidRPr="00836975" w:rsidRDefault="00B35DCC" w:rsidP="00B35DCC">
      <w:pPr>
        <w:spacing w:after="60"/>
        <w:ind w:firstLine="284"/>
        <w:jc w:val="right"/>
        <w:rPr>
          <w:sz w:val="22"/>
        </w:rPr>
      </w:pPr>
      <w:r w:rsidRPr="00836975">
        <w:rPr>
          <w:sz w:val="22"/>
        </w:rPr>
        <w:t xml:space="preserve">к Правилам страхования </w:t>
      </w:r>
      <w:r>
        <w:rPr>
          <w:sz w:val="22"/>
        </w:rPr>
        <w:t>гражданской ответственности</w:t>
      </w:r>
    </w:p>
    <w:p w:rsidR="00B35DCC" w:rsidRDefault="00B35DCC" w:rsidP="00B35DCC">
      <w:pPr>
        <w:spacing w:after="60"/>
        <w:ind w:firstLine="284"/>
        <w:jc w:val="right"/>
        <w:rPr>
          <w:sz w:val="22"/>
        </w:rPr>
      </w:pPr>
      <w:r w:rsidRPr="00836975">
        <w:rPr>
          <w:sz w:val="22"/>
        </w:rPr>
        <w:t xml:space="preserve"> директоров и должностных лиц</w:t>
      </w:r>
    </w:p>
    <w:p w:rsidR="00B35DCC" w:rsidRPr="00836975" w:rsidRDefault="00B35DCC" w:rsidP="00B35DCC">
      <w:pPr>
        <w:spacing w:after="60"/>
        <w:ind w:firstLine="284"/>
        <w:jc w:val="right"/>
        <w:rPr>
          <w:sz w:val="22"/>
        </w:rPr>
      </w:pPr>
    </w:p>
    <w:p w:rsidR="00B35DCC" w:rsidRPr="00836975" w:rsidRDefault="00B35DCC" w:rsidP="00B35DCC">
      <w:pPr>
        <w:spacing w:after="60"/>
        <w:ind w:firstLine="284"/>
        <w:jc w:val="center"/>
        <w:rPr>
          <w:sz w:val="22"/>
        </w:rPr>
      </w:pPr>
    </w:p>
    <w:p w:rsidR="00B35DCC" w:rsidRPr="00836975" w:rsidRDefault="00B35DCC" w:rsidP="00B35DCC">
      <w:pPr>
        <w:spacing w:after="60"/>
        <w:ind w:firstLine="284"/>
        <w:jc w:val="center"/>
        <w:rPr>
          <w:sz w:val="22"/>
        </w:rPr>
      </w:pPr>
    </w:p>
    <w:p w:rsidR="00B35DCC" w:rsidRPr="00836975" w:rsidRDefault="00B35DCC" w:rsidP="00B35DCC">
      <w:pPr>
        <w:pStyle w:val="a3"/>
        <w:spacing w:after="60"/>
        <w:ind w:firstLine="284"/>
        <w:jc w:val="center"/>
        <w:rPr>
          <w:rFonts w:ascii="Times New Roman" w:hAnsi="Times New Roman"/>
          <w:b/>
        </w:rPr>
      </w:pPr>
      <w:r w:rsidRPr="00836975">
        <w:rPr>
          <w:rFonts w:ascii="Times New Roman" w:hAnsi="Times New Roman"/>
          <w:b/>
        </w:rPr>
        <w:t>ТАБЛИЦА БАЗОВЫХ СТРАХОВЫХ ТАРИФОВ</w:t>
      </w:r>
    </w:p>
    <w:p w:rsidR="00B35DCC" w:rsidRPr="00836975" w:rsidRDefault="00B35DCC" w:rsidP="00B35DCC">
      <w:pPr>
        <w:pStyle w:val="a3"/>
        <w:spacing w:after="60"/>
        <w:ind w:firstLine="284"/>
        <w:jc w:val="center"/>
        <w:rPr>
          <w:rFonts w:ascii="Times New Roman" w:hAnsi="Times New Roman"/>
        </w:rPr>
      </w:pPr>
      <w:r w:rsidRPr="00836975">
        <w:rPr>
          <w:rFonts w:ascii="Times New Roman" w:hAnsi="Times New Roman"/>
        </w:rPr>
        <w:t>(в % к страховой сумме в год)</w:t>
      </w:r>
    </w:p>
    <w:p w:rsidR="00B35DCC" w:rsidRPr="00836975" w:rsidRDefault="00B35DCC" w:rsidP="00B35DCC">
      <w:pPr>
        <w:pStyle w:val="a3"/>
        <w:spacing w:after="60"/>
        <w:ind w:firstLine="284"/>
        <w:rPr>
          <w:rFonts w:ascii="Times New Roman" w:hAnsi="Times New Roman"/>
          <w:szCs w:val="22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F"/>
      </w:tblPr>
      <w:tblGrid>
        <w:gridCol w:w="8222"/>
        <w:gridCol w:w="1417"/>
      </w:tblGrid>
      <w:tr w:rsidR="00B35DCC" w:rsidRPr="00836975" w:rsidTr="009814D2">
        <w:tc>
          <w:tcPr>
            <w:tcW w:w="8222" w:type="dxa"/>
          </w:tcPr>
          <w:p w:rsidR="00B35DCC" w:rsidRPr="00836975" w:rsidRDefault="00B35DCC" w:rsidP="009814D2">
            <w:pPr>
              <w:pStyle w:val="a5"/>
              <w:spacing w:after="60"/>
              <w:ind w:firstLine="284"/>
              <w:jc w:val="center"/>
              <w:rPr>
                <w:sz w:val="22"/>
                <w:szCs w:val="22"/>
              </w:rPr>
            </w:pPr>
            <w:r w:rsidRPr="00836975">
              <w:rPr>
                <w:sz w:val="22"/>
                <w:szCs w:val="22"/>
              </w:rPr>
              <w:t>Страховой риск</w:t>
            </w:r>
          </w:p>
        </w:tc>
        <w:tc>
          <w:tcPr>
            <w:tcW w:w="1417" w:type="dxa"/>
          </w:tcPr>
          <w:p w:rsidR="00B35DCC" w:rsidRPr="00836975" w:rsidRDefault="00B35DCC" w:rsidP="009814D2">
            <w:pPr>
              <w:spacing w:after="60"/>
              <w:ind w:firstLine="284"/>
              <w:jc w:val="center"/>
              <w:rPr>
                <w:rFonts w:eastAsia="Arial Unicode MS"/>
                <w:sz w:val="22"/>
                <w:szCs w:val="22"/>
              </w:rPr>
            </w:pPr>
            <w:r w:rsidRPr="00836975">
              <w:rPr>
                <w:rFonts w:eastAsia="Arial Unicode MS"/>
                <w:sz w:val="22"/>
                <w:szCs w:val="22"/>
              </w:rPr>
              <w:t>Тариф</w:t>
            </w:r>
          </w:p>
        </w:tc>
      </w:tr>
      <w:tr w:rsidR="00B35DCC" w:rsidRPr="00836975" w:rsidTr="00981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8222" w:type="dxa"/>
          </w:tcPr>
          <w:p w:rsidR="00B35DCC" w:rsidRPr="00836975" w:rsidRDefault="00B35DCC" w:rsidP="009814D2">
            <w:pPr>
              <w:pStyle w:val="a7"/>
              <w:tabs>
                <w:tab w:val="num" w:pos="0"/>
              </w:tabs>
              <w:spacing w:after="60"/>
              <w:ind w:firstLine="0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Возмещение</w:t>
            </w:r>
            <w:r w:rsidRPr="00836975">
              <w:rPr>
                <w:rFonts w:eastAsia="Batang"/>
                <w:sz w:val="22"/>
                <w:szCs w:val="22"/>
              </w:rPr>
              <w:t xml:space="preserve"> Ущерба (</w:t>
            </w:r>
            <w:r w:rsidRPr="00836975">
              <w:rPr>
                <w:sz w:val="22"/>
                <w:szCs w:val="22"/>
              </w:rPr>
              <w:t>на основе вступившего в законную силу решения суда)</w:t>
            </w:r>
          </w:p>
        </w:tc>
        <w:tc>
          <w:tcPr>
            <w:tcW w:w="1417" w:type="dxa"/>
            <w:vAlign w:val="center"/>
          </w:tcPr>
          <w:p w:rsidR="00B35DCC" w:rsidRPr="00836975" w:rsidRDefault="00B35DCC" w:rsidP="009814D2">
            <w:pPr>
              <w:jc w:val="center"/>
              <w:rPr>
                <w:sz w:val="22"/>
                <w:szCs w:val="22"/>
              </w:rPr>
            </w:pPr>
            <w:r w:rsidRPr="00836975">
              <w:t>0,08</w:t>
            </w:r>
          </w:p>
        </w:tc>
      </w:tr>
      <w:tr w:rsidR="00B35DCC" w:rsidRPr="00836975" w:rsidTr="00981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8222" w:type="dxa"/>
          </w:tcPr>
          <w:p w:rsidR="00B35DCC" w:rsidRPr="00836975" w:rsidRDefault="00B35DCC" w:rsidP="009814D2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Возмещение</w:t>
            </w:r>
            <w:r w:rsidRPr="00836975">
              <w:rPr>
                <w:rFonts w:eastAsia="Batang"/>
                <w:sz w:val="22"/>
                <w:szCs w:val="22"/>
              </w:rPr>
              <w:t xml:space="preserve"> Ущерба (</w:t>
            </w:r>
            <w:r w:rsidRPr="00836975">
              <w:rPr>
                <w:sz w:val="22"/>
                <w:szCs w:val="22"/>
              </w:rPr>
              <w:t>на основе имущественной претензии)</w:t>
            </w:r>
          </w:p>
        </w:tc>
        <w:tc>
          <w:tcPr>
            <w:tcW w:w="1417" w:type="dxa"/>
            <w:vAlign w:val="center"/>
          </w:tcPr>
          <w:p w:rsidR="00B35DCC" w:rsidRPr="00836975" w:rsidRDefault="00B35DCC" w:rsidP="009814D2">
            <w:pPr>
              <w:jc w:val="center"/>
              <w:rPr>
                <w:sz w:val="22"/>
                <w:szCs w:val="22"/>
              </w:rPr>
            </w:pPr>
            <w:r w:rsidRPr="00836975">
              <w:t>0,10</w:t>
            </w:r>
          </w:p>
        </w:tc>
      </w:tr>
      <w:tr w:rsidR="00B35DCC" w:rsidRPr="00836975" w:rsidTr="00981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8222" w:type="dxa"/>
          </w:tcPr>
          <w:p w:rsidR="00B35DCC" w:rsidRPr="00836975" w:rsidRDefault="00B35DCC" w:rsidP="009814D2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</w:rPr>
              <w:t>Возмещение по Требованиям</w:t>
            </w:r>
            <w:r w:rsidRPr="00836975">
              <w:rPr>
                <w:sz w:val="22"/>
              </w:rPr>
              <w:t xml:space="preserve">  по акциям, долям либо паям Компании</w:t>
            </w:r>
          </w:p>
        </w:tc>
        <w:tc>
          <w:tcPr>
            <w:tcW w:w="1417" w:type="dxa"/>
            <w:vAlign w:val="center"/>
          </w:tcPr>
          <w:p w:rsidR="00B35DCC" w:rsidRPr="00836975" w:rsidRDefault="00B35DCC" w:rsidP="009814D2">
            <w:pPr>
              <w:jc w:val="center"/>
              <w:rPr>
                <w:sz w:val="22"/>
                <w:szCs w:val="22"/>
              </w:rPr>
            </w:pPr>
            <w:r w:rsidRPr="00836975">
              <w:t>0,06</w:t>
            </w:r>
          </w:p>
        </w:tc>
      </w:tr>
      <w:tr w:rsidR="00B35DCC" w:rsidRPr="00836975" w:rsidTr="00981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8222" w:type="dxa"/>
          </w:tcPr>
          <w:p w:rsidR="00B35DCC" w:rsidRPr="00836975" w:rsidRDefault="00B35DCC" w:rsidP="009814D2">
            <w:pPr>
              <w:pStyle w:val="21"/>
              <w:ind w:firstLine="0"/>
              <w:rPr>
                <w:sz w:val="22"/>
                <w:szCs w:val="22"/>
              </w:rPr>
            </w:pPr>
            <w:r w:rsidRPr="00836975">
              <w:rPr>
                <w:rFonts w:eastAsia="Batang"/>
                <w:sz w:val="22"/>
                <w:szCs w:val="22"/>
              </w:rPr>
              <w:t>Расходы на защиту</w:t>
            </w:r>
          </w:p>
        </w:tc>
        <w:tc>
          <w:tcPr>
            <w:tcW w:w="1417" w:type="dxa"/>
          </w:tcPr>
          <w:p w:rsidR="00B35DCC" w:rsidRPr="00836975" w:rsidRDefault="00B35DCC" w:rsidP="009814D2">
            <w:pPr>
              <w:jc w:val="center"/>
              <w:rPr>
                <w:sz w:val="22"/>
                <w:szCs w:val="22"/>
              </w:rPr>
            </w:pPr>
            <w:r w:rsidRPr="00836975">
              <w:t>0,03</w:t>
            </w:r>
          </w:p>
        </w:tc>
      </w:tr>
      <w:tr w:rsidR="00B35DCC" w:rsidRPr="00836975" w:rsidTr="00981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8222" w:type="dxa"/>
          </w:tcPr>
          <w:p w:rsidR="00B35DCC" w:rsidRPr="00836975" w:rsidRDefault="00B35DCC" w:rsidP="009814D2">
            <w:pPr>
              <w:pStyle w:val="21"/>
              <w:ind w:firstLine="0"/>
              <w:rPr>
                <w:sz w:val="22"/>
                <w:szCs w:val="22"/>
              </w:rPr>
            </w:pPr>
            <w:r w:rsidRPr="00836975">
              <w:rPr>
                <w:rFonts w:eastAsia="Batang"/>
                <w:sz w:val="22"/>
                <w:szCs w:val="22"/>
              </w:rPr>
              <w:t>Расходы на расследование</w:t>
            </w:r>
          </w:p>
        </w:tc>
        <w:tc>
          <w:tcPr>
            <w:tcW w:w="1417" w:type="dxa"/>
          </w:tcPr>
          <w:p w:rsidR="00B35DCC" w:rsidRPr="00836975" w:rsidRDefault="00B35DCC" w:rsidP="009814D2">
            <w:pPr>
              <w:jc w:val="center"/>
              <w:rPr>
                <w:sz w:val="22"/>
                <w:szCs w:val="22"/>
              </w:rPr>
            </w:pPr>
            <w:r w:rsidRPr="00836975">
              <w:t>0,02</w:t>
            </w:r>
          </w:p>
        </w:tc>
      </w:tr>
    </w:tbl>
    <w:p w:rsidR="00B35DCC" w:rsidRPr="00836975" w:rsidRDefault="00B35DCC" w:rsidP="00B35DCC">
      <w:pPr>
        <w:pStyle w:val="a3"/>
        <w:spacing w:after="60"/>
        <w:ind w:firstLine="284"/>
        <w:rPr>
          <w:rFonts w:ascii="Times New Roman" w:hAnsi="Times New Roman"/>
        </w:rPr>
      </w:pPr>
    </w:p>
    <w:p w:rsidR="00B35DCC" w:rsidRPr="00836975" w:rsidRDefault="00B35DCC" w:rsidP="00B35DCC">
      <w:pPr>
        <w:pStyle w:val="2"/>
        <w:spacing w:after="60"/>
        <w:ind w:firstLine="284"/>
        <w:rPr>
          <w:sz w:val="22"/>
        </w:rPr>
      </w:pPr>
      <w:r w:rsidRPr="00836975">
        <w:rPr>
          <w:sz w:val="22"/>
        </w:rPr>
        <w:t xml:space="preserve">В случае если в соответствии с Договором страхования (полисом) Страховщик </w:t>
      </w:r>
      <w:r>
        <w:rPr>
          <w:sz w:val="22"/>
        </w:rPr>
        <w:t>обязуется возместить</w:t>
      </w:r>
      <w:r w:rsidRPr="00836975">
        <w:rPr>
          <w:sz w:val="22"/>
        </w:rPr>
        <w:t xml:space="preserve"> </w:t>
      </w:r>
      <w:r>
        <w:rPr>
          <w:sz w:val="22"/>
        </w:rPr>
        <w:t>ущерб, когда</w:t>
      </w:r>
      <w:r w:rsidRPr="00836975">
        <w:rPr>
          <w:sz w:val="22"/>
        </w:rPr>
        <w:t xml:space="preserve"> Застрахован</w:t>
      </w:r>
      <w:r>
        <w:rPr>
          <w:sz w:val="22"/>
        </w:rPr>
        <w:t>ное</w:t>
      </w:r>
      <w:r w:rsidRPr="00836975">
        <w:rPr>
          <w:sz w:val="22"/>
        </w:rPr>
        <w:t xml:space="preserve"> Лицо на момент вынесения судебного решения (предъявления имущественной претензии) не является Директором и (или) Должностным Лицом, однако наступление страхового случая было вызвано </w:t>
      </w:r>
      <w:r w:rsidRPr="00836975">
        <w:rPr>
          <w:rFonts w:eastAsia="Batang"/>
          <w:sz w:val="22"/>
          <w:szCs w:val="22"/>
        </w:rPr>
        <w:t xml:space="preserve">Неверным действием (решением), допущенным им при исполнении обязанностей </w:t>
      </w:r>
      <w:r w:rsidRPr="00836975">
        <w:rPr>
          <w:sz w:val="22"/>
        </w:rPr>
        <w:t xml:space="preserve">Директоров и (или) Должностных лиц в период срока действия Договора страхования (полиса), к указанным тарифным ставкам применяются повышающие коэффициенты от 1,0 до 1,5. </w:t>
      </w:r>
    </w:p>
    <w:p w:rsidR="00B35DCC" w:rsidRPr="00836975" w:rsidRDefault="00B35DCC" w:rsidP="00B35DCC">
      <w:pPr>
        <w:pStyle w:val="2"/>
        <w:spacing w:after="60"/>
        <w:ind w:firstLine="284"/>
        <w:rPr>
          <w:sz w:val="22"/>
        </w:rPr>
      </w:pPr>
      <w:r w:rsidRPr="00836975">
        <w:rPr>
          <w:sz w:val="22"/>
        </w:rPr>
        <w:t xml:space="preserve">Если в соответствии с Договором страхования (полисом) Страховщик обязуется осуществить страховую выплату при наступлении страхового случая вследствие </w:t>
      </w:r>
      <w:r w:rsidRPr="00836975">
        <w:rPr>
          <w:rFonts w:eastAsia="Batang"/>
          <w:sz w:val="22"/>
          <w:szCs w:val="22"/>
        </w:rPr>
        <w:t xml:space="preserve">Неверного действия (решения), допущенного Застрахованным Лицом при исполнении им обязанностей </w:t>
      </w:r>
      <w:r w:rsidRPr="00836975">
        <w:rPr>
          <w:sz w:val="22"/>
        </w:rPr>
        <w:t>Директоров и (или) Должностных лиц и произошедшего</w:t>
      </w:r>
      <w:r w:rsidRPr="00836975" w:rsidDel="005201F2">
        <w:rPr>
          <w:sz w:val="22"/>
        </w:rPr>
        <w:t xml:space="preserve"> </w:t>
      </w:r>
      <w:r w:rsidRPr="00836975">
        <w:rPr>
          <w:sz w:val="22"/>
        </w:rPr>
        <w:t>до момента заключения Договора страхования (полиса), однако судебное решение</w:t>
      </w:r>
      <w:r>
        <w:rPr>
          <w:sz w:val="22"/>
        </w:rPr>
        <w:t>,</w:t>
      </w:r>
      <w:r w:rsidRPr="00836975">
        <w:rPr>
          <w:sz w:val="22"/>
        </w:rPr>
        <w:t xml:space="preserve"> по которому принято либо имущественная претензия заявляется в период срока действия Договора страхования (полиса), к указанным тарифным ставкам применяются повышающие коэффициенты от 1,0 до 5,0 в зависимости от величины срока до момента заключения Договора страхования (полиса), на который распространяется действие страхового покрытия.</w:t>
      </w:r>
    </w:p>
    <w:p w:rsidR="00B35DCC" w:rsidRPr="00836975" w:rsidRDefault="00B35DCC" w:rsidP="00B35DCC">
      <w:pPr>
        <w:pStyle w:val="2"/>
        <w:spacing w:after="60"/>
        <w:ind w:firstLine="284"/>
        <w:rPr>
          <w:sz w:val="22"/>
        </w:rPr>
      </w:pPr>
      <w:r w:rsidRPr="00836975">
        <w:rPr>
          <w:sz w:val="22"/>
        </w:rPr>
        <w:t xml:space="preserve">Если в соответствии с п. 3.6 Правил Страховщик уменьшает перечень </w:t>
      </w:r>
      <w:r w:rsidRPr="00836975">
        <w:rPr>
          <w:rFonts w:eastAsia="Batang"/>
          <w:sz w:val="22"/>
          <w:szCs w:val="22"/>
        </w:rPr>
        <w:t xml:space="preserve">Неверных действий (решений) </w:t>
      </w:r>
      <w:r w:rsidRPr="00836975">
        <w:rPr>
          <w:sz w:val="22"/>
        </w:rPr>
        <w:t>Директоров и (или) Должностных лиц, могущих быть застрахованными по Договору страхования (полису), то он вправе применить понижающий коэффициент в размере от 0,15 до 0,95.</w:t>
      </w:r>
    </w:p>
    <w:p w:rsidR="00B35DCC" w:rsidRPr="00836975" w:rsidRDefault="00B35DCC" w:rsidP="00B35DCC">
      <w:pPr>
        <w:pStyle w:val="2"/>
        <w:spacing w:after="60"/>
        <w:ind w:firstLine="284"/>
        <w:rPr>
          <w:sz w:val="22"/>
        </w:rPr>
      </w:pPr>
      <w:r w:rsidRPr="00836975">
        <w:rPr>
          <w:sz w:val="22"/>
        </w:rPr>
        <w:t xml:space="preserve">В случае если в соответствии с Договором страхования (полисом) </w:t>
      </w:r>
      <w:r>
        <w:rPr>
          <w:sz w:val="22"/>
        </w:rPr>
        <w:t>применяется условие о «П</w:t>
      </w:r>
      <w:r w:rsidRPr="00836975">
        <w:rPr>
          <w:sz w:val="22"/>
        </w:rPr>
        <w:t>ериоде обнаружения» (пункт 9.10 Правил), то к указанным тарифным ставкам применяются повышающие коэффициенты от 1,0 до 1,5.</w:t>
      </w:r>
    </w:p>
    <w:p w:rsidR="00B35DCC" w:rsidRPr="00836975" w:rsidRDefault="00B35DCC" w:rsidP="00B35DCC">
      <w:pPr>
        <w:pStyle w:val="2"/>
        <w:spacing w:after="60"/>
        <w:ind w:firstLine="284"/>
        <w:rPr>
          <w:sz w:val="22"/>
        </w:rPr>
      </w:pPr>
      <w:r w:rsidRPr="00836975">
        <w:rPr>
          <w:sz w:val="22"/>
          <w:szCs w:val="22"/>
        </w:rPr>
        <w:t xml:space="preserve">Страховщик имеет право применять к настоящим тарифным ставкам повышающие от 1,01 до 15,0 или понижающие от 0,1 до 0,99 коэффициенты, в зависимости от обстоятельств, имеющих существенное значение для определения степени страхового риска, как-то характер деятельности Директора и (или) Должностного лица, стаж его работы, истории убытков в связи с </w:t>
      </w:r>
      <w:r w:rsidRPr="00836975">
        <w:rPr>
          <w:rFonts w:eastAsia="Batang"/>
          <w:sz w:val="22"/>
          <w:szCs w:val="22"/>
        </w:rPr>
        <w:t xml:space="preserve">Неверными действиями (решениями) </w:t>
      </w:r>
      <w:r w:rsidRPr="00836975">
        <w:rPr>
          <w:sz w:val="22"/>
        </w:rPr>
        <w:t>Директоров и (или) Должностных лиц и другими факторами, в частности:</w:t>
      </w:r>
    </w:p>
    <w:p w:rsidR="00B35DCC" w:rsidRPr="00836975" w:rsidRDefault="00B35DCC" w:rsidP="00B35DCC">
      <w:pPr>
        <w:pStyle w:val="2"/>
        <w:spacing w:after="60"/>
        <w:ind w:firstLine="284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1"/>
        <w:gridCol w:w="2411"/>
        <w:gridCol w:w="2409"/>
      </w:tblGrid>
      <w:tr w:rsidR="00B35DCC" w:rsidRPr="00215B2C" w:rsidTr="009814D2">
        <w:tc>
          <w:tcPr>
            <w:tcW w:w="4926" w:type="dxa"/>
            <w:vMerge w:val="restart"/>
          </w:tcPr>
          <w:p w:rsidR="00B35DCC" w:rsidRPr="00215B2C" w:rsidRDefault="00B35DCC" w:rsidP="009814D2">
            <w:pPr>
              <w:pStyle w:val="2"/>
              <w:tabs>
                <w:tab w:val="left" w:pos="837"/>
                <w:tab w:val="center" w:pos="2355"/>
              </w:tabs>
              <w:spacing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215B2C">
              <w:rPr>
                <w:sz w:val="22"/>
                <w:szCs w:val="22"/>
              </w:rPr>
              <w:t>Наименование фактора</w:t>
            </w:r>
          </w:p>
        </w:tc>
        <w:tc>
          <w:tcPr>
            <w:tcW w:w="4928" w:type="dxa"/>
            <w:gridSpan w:val="2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Поправочный коэффициент</w:t>
            </w:r>
          </w:p>
        </w:tc>
      </w:tr>
      <w:tr w:rsidR="00B35DCC" w:rsidRPr="00215B2C" w:rsidTr="009814D2">
        <w:tc>
          <w:tcPr>
            <w:tcW w:w="4926" w:type="dxa"/>
            <w:vMerge/>
          </w:tcPr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Повышающий</w:t>
            </w: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Понижающий</w:t>
            </w:r>
          </w:p>
        </w:tc>
      </w:tr>
      <w:tr w:rsidR="00B35DCC" w:rsidRPr="00215B2C" w:rsidTr="009814D2">
        <w:trPr>
          <w:trHeight w:val="335"/>
        </w:trPr>
        <w:tc>
          <w:tcPr>
            <w:tcW w:w="4926" w:type="dxa"/>
            <w:vMerge w:val="restart"/>
          </w:tcPr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Стаж работы:</w:t>
            </w:r>
          </w:p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- до 3 лет</w:t>
            </w:r>
          </w:p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- от 3 до 5 лет</w:t>
            </w:r>
          </w:p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lastRenderedPageBreak/>
              <w:t>- более 5 лет</w:t>
            </w: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B35DCC" w:rsidRPr="00215B2C" w:rsidTr="009814D2">
        <w:trPr>
          <w:trHeight w:val="335"/>
        </w:trPr>
        <w:tc>
          <w:tcPr>
            <w:tcW w:w="4926" w:type="dxa"/>
            <w:vMerge/>
          </w:tcPr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2,0-3,5</w:t>
            </w: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B35DCC" w:rsidRPr="00215B2C" w:rsidTr="009814D2">
        <w:trPr>
          <w:trHeight w:val="335"/>
        </w:trPr>
        <w:tc>
          <w:tcPr>
            <w:tcW w:w="4926" w:type="dxa"/>
            <w:vMerge/>
          </w:tcPr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0</w:t>
            </w:r>
            <w:r w:rsidRPr="00215B2C">
              <w:rPr>
                <w:sz w:val="22"/>
                <w:szCs w:val="22"/>
              </w:rPr>
              <w:t>-2,0</w:t>
            </w: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B35DCC" w:rsidRPr="00215B2C" w:rsidTr="009814D2">
        <w:trPr>
          <w:trHeight w:val="335"/>
        </w:trPr>
        <w:tc>
          <w:tcPr>
            <w:tcW w:w="4926" w:type="dxa"/>
            <w:vMerge/>
            <w:tcBorders>
              <w:bottom w:val="single" w:sz="4" w:space="0" w:color="auto"/>
            </w:tcBorders>
          </w:tcPr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0,15-</w:t>
            </w:r>
            <w:r>
              <w:rPr>
                <w:sz w:val="22"/>
                <w:szCs w:val="22"/>
              </w:rPr>
              <w:t>1</w:t>
            </w:r>
            <w:r w:rsidRPr="00215B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35DCC" w:rsidRPr="00215B2C" w:rsidTr="009814D2">
        <w:trPr>
          <w:trHeight w:val="288"/>
        </w:trPr>
        <w:tc>
          <w:tcPr>
            <w:tcW w:w="4926" w:type="dxa"/>
            <w:vMerge w:val="restart"/>
          </w:tcPr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lastRenderedPageBreak/>
              <w:t>История убытков:</w:t>
            </w:r>
          </w:p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- наличие убытков, 1 за последние 5 лет,</w:t>
            </w:r>
          </w:p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- наличие убытков, но не более 3 за последние 5 лет,</w:t>
            </w:r>
          </w:p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- наличие убытков более 3 за последние 5 лет,</w:t>
            </w:r>
          </w:p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-  отсутствие убытков за последние 5 лет</w:t>
            </w: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B35DCC" w:rsidRPr="00215B2C" w:rsidTr="009814D2">
        <w:trPr>
          <w:trHeight w:val="236"/>
        </w:trPr>
        <w:tc>
          <w:tcPr>
            <w:tcW w:w="4926" w:type="dxa"/>
            <w:vMerge/>
          </w:tcPr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1,25</w:t>
            </w: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B35DCC" w:rsidRPr="00215B2C" w:rsidTr="009814D2">
        <w:trPr>
          <w:trHeight w:val="481"/>
        </w:trPr>
        <w:tc>
          <w:tcPr>
            <w:tcW w:w="4926" w:type="dxa"/>
            <w:vMerge/>
          </w:tcPr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1,5-2,</w:t>
            </w:r>
            <w:r w:rsidRPr="00215B2C" w:rsidDel="005532AE">
              <w:rPr>
                <w:sz w:val="22"/>
                <w:szCs w:val="22"/>
              </w:rPr>
              <w:t xml:space="preserve"> </w:t>
            </w:r>
            <w:r w:rsidRPr="00215B2C">
              <w:rPr>
                <w:sz w:val="22"/>
                <w:szCs w:val="22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B35DCC" w:rsidRPr="00215B2C" w:rsidTr="009814D2">
        <w:trPr>
          <w:trHeight w:val="221"/>
        </w:trPr>
        <w:tc>
          <w:tcPr>
            <w:tcW w:w="4926" w:type="dxa"/>
            <w:vMerge/>
          </w:tcPr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</w:t>
            </w:r>
            <w:r w:rsidRPr="00215B2C">
              <w:rPr>
                <w:sz w:val="22"/>
                <w:szCs w:val="22"/>
              </w:rPr>
              <w:t>5-5,0</w:t>
            </w: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B35DCC" w:rsidRPr="00215B2C" w:rsidTr="009814D2">
        <w:trPr>
          <w:trHeight w:val="499"/>
        </w:trPr>
        <w:tc>
          <w:tcPr>
            <w:tcW w:w="4926" w:type="dxa"/>
            <w:vMerge/>
          </w:tcPr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Базовый тариф</w:t>
            </w:r>
          </w:p>
        </w:tc>
      </w:tr>
      <w:tr w:rsidR="00B35DCC" w:rsidRPr="00215B2C" w:rsidTr="009814D2">
        <w:trPr>
          <w:trHeight w:val="335"/>
        </w:trPr>
        <w:tc>
          <w:tcPr>
            <w:tcW w:w="4926" w:type="dxa"/>
            <w:vMerge w:val="restart"/>
          </w:tcPr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Иные факторы:</w:t>
            </w:r>
          </w:p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- положительные</w:t>
            </w:r>
          </w:p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- отрицательные</w:t>
            </w: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B35DCC" w:rsidRPr="00215B2C" w:rsidTr="009814D2">
        <w:trPr>
          <w:trHeight w:val="335"/>
        </w:trPr>
        <w:tc>
          <w:tcPr>
            <w:tcW w:w="4926" w:type="dxa"/>
            <w:vMerge/>
          </w:tcPr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0,1-0,</w:t>
            </w:r>
            <w:r>
              <w:rPr>
                <w:sz w:val="22"/>
                <w:szCs w:val="22"/>
              </w:rPr>
              <w:t>9</w:t>
            </w:r>
          </w:p>
        </w:tc>
      </w:tr>
      <w:tr w:rsidR="00B35DCC" w:rsidRPr="00215B2C" w:rsidTr="009814D2">
        <w:trPr>
          <w:trHeight w:val="335"/>
        </w:trPr>
        <w:tc>
          <w:tcPr>
            <w:tcW w:w="4926" w:type="dxa"/>
            <w:vMerge/>
          </w:tcPr>
          <w:p w:rsidR="00B35DCC" w:rsidRPr="00215B2C" w:rsidRDefault="00B35DCC" w:rsidP="009814D2">
            <w:pPr>
              <w:pStyle w:val="2"/>
              <w:spacing w:after="60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  <w:r w:rsidRPr="00215B2C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</w:t>
            </w:r>
            <w:r w:rsidRPr="00215B2C">
              <w:rPr>
                <w:sz w:val="22"/>
                <w:szCs w:val="22"/>
              </w:rPr>
              <w:t>-4,5</w:t>
            </w:r>
          </w:p>
        </w:tc>
        <w:tc>
          <w:tcPr>
            <w:tcW w:w="2464" w:type="dxa"/>
            <w:shd w:val="clear" w:color="auto" w:fill="auto"/>
          </w:tcPr>
          <w:p w:rsidR="00B35DCC" w:rsidRPr="00215B2C" w:rsidRDefault="00B35DCC" w:rsidP="009814D2">
            <w:pPr>
              <w:pStyle w:val="2"/>
              <w:spacing w:after="60"/>
              <w:jc w:val="center"/>
              <w:rPr>
                <w:sz w:val="22"/>
                <w:szCs w:val="22"/>
              </w:rPr>
            </w:pPr>
          </w:p>
        </w:tc>
      </w:tr>
    </w:tbl>
    <w:p w:rsidR="00B35DCC" w:rsidRPr="00836975" w:rsidRDefault="00B35DCC" w:rsidP="00B35DCC">
      <w:pPr>
        <w:pStyle w:val="2"/>
        <w:spacing w:after="60"/>
        <w:ind w:firstLine="284"/>
        <w:rPr>
          <w:sz w:val="22"/>
          <w:szCs w:val="22"/>
        </w:rPr>
      </w:pPr>
    </w:p>
    <w:p w:rsidR="004A51B8" w:rsidRDefault="00B35DCC" w:rsidP="00B35DCC"/>
    <w:sectPr w:rsidR="004A51B8" w:rsidSect="005F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5DCC"/>
    <w:rsid w:val="004F685C"/>
    <w:rsid w:val="005F6424"/>
    <w:rsid w:val="00B35DCC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35DCC"/>
    <w:pPr>
      <w:keepNext/>
      <w:spacing w:after="60"/>
      <w:ind w:firstLine="284"/>
      <w:jc w:val="right"/>
      <w:outlineLvl w:val="7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35DCC"/>
    <w:rPr>
      <w:rFonts w:ascii="Book Antiqua" w:eastAsia="Times New Roman" w:hAnsi="Book Antiqua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35DCC"/>
    <w:pPr>
      <w:widowControl w:val="0"/>
      <w:jc w:val="both"/>
    </w:pPr>
    <w:rPr>
      <w:rFonts w:ascii="Arial" w:hAnsi="Arial"/>
      <w:snapToGrid w:val="0"/>
      <w:sz w:val="22"/>
      <w:lang w:eastAsia="en-US"/>
    </w:rPr>
  </w:style>
  <w:style w:type="character" w:customStyle="1" w:styleId="a4">
    <w:name w:val="Основной текст Знак"/>
    <w:basedOn w:val="a0"/>
    <w:link w:val="a3"/>
    <w:rsid w:val="00B35DCC"/>
    <w:rPr>
      <w:rFonts w:ascii="Arial" w:eastAsia="Times New Roman" w:hAnsi="Arial" w:cs="Times New Roman"/>
      <w:snapToGrid w:val="0"/>
      <w:szCs w:val="20"/>
    </w:rPr>
  </w:style>
  <w:style w:type="paragraph" w:styleId="a5">
    <w:name w:val="Body Text Indent"/>
    <w:basedOn w:val="a"/>
    <w:link w:val="a6"/>
    <w:rsid w:val="00B35DCC"/>
    <w:pPr>
      <w:widowControl w:val="0"/>
      <w:ind w:firstLine="72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35DCC"/>
    <w:pPr>
      <w:widowControl w:val="0"/>
      <w:jc w:val="both"/>
    </w:pPr>
    <w:rPr>
      <w:snapToGrid w:val="0"/>
      <w:lang w:eastAsia="en-US"/>
    </w:rPr>
  </w:style>
  <w:style w:type="character" w:customStyle="1" w:styleId="20">
    <w:name w:val="Основной текст 2 Знак"/>
    <w:basedOn w:val="a0"/>
    <w:link w:val="2"/>
    <w:rsid w:val="00B35DC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">
    <w:name w:val="Основной текст 21"/>
    <w:basedOn w:val="a"/>
    <w:rsid w:val="00B35DCC"/>
    <w:pPr>
      <w:widowControl w:val="0"/>
      <w:spacing w:line="240" w:lineRule="atLeast"/>
      <w:ind w:firstLine="720"/>
      <w:jc w:val="both"/>
    </w:pPr>
    <w:rPr>
      <w:sz w:val="24"/>
    </w:rPr>
  </w:style>
  <w:style w:type="paragraph" w:customStyle="1" w:styleId="a7">
    <w:name w:val="Нормальный"/>
    <w:basedOn w:val="a"/>
    <w:autoRedefine/>
    <w:rsid w:val="00B35DCC"/>
    <w:pPr>
      <w:ind w:firstLine="7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2017-07-12T06:51:00Z</dcterms:created>
  <dcterms:modified xsi:type="dcterms:W3CDTF">2017-07-12T06:51:00Z</dcterms:modified>
</cp:coreProperties>
</file>